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D9" w:rsidRDefault="007263D3">
      <w:pPr>
        <w:rPr>
          <w:rFonts w:ascii="Palatino Linotype" w:hAnsi="Palatino Linotype"/>
        </w:rPr>
      </w:pPr>
      <w:r w:rsidRPr="00E91807">
        <w:rPr>
          <w:noProof/>
        </w:rPr>
        <mc:AlternateContent>
          <mc:Choice Requires="wps">
            <w:drawing>
              <wp:anchor distT="0" distB="0" distL="89535" distR="89535" simplePos="0" relativeHeight="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margin">
                  <wp:posOffset>902970</wp:posOffset>
                </wp:positionV>
                <wp:extent cx="6120130" cy="405384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05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EE58D9">
                              <w:trPr>
                                <w:trHeight w:val="296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eastAsiaTheme="majorEastAsia" w:hAnsi="Palatino Linotype" w:cstheme="majorBidi"/>
                                      <w:caps/>
                                      <w:szCs w:val="24"/>
                                    </w:rPr>
                                  </w:pPr>
                                  <w:bookmarkStart w:id="0" w:name="_Hlk503169591"/>
                                </w:p>
                              </w:tc>
                            </w:tr>
                            <w:tr w:rsidR="00EE58D9">
                              <w:trPr>
                                <w:trHeight w:val="1299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  <w:bottom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Tytuł"/>
                                    <w:id w:val="60439520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E58D9" w:rsidRDefault="007263D3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  <w:sz w:val="36"/>
                                        </w:rPr>
                                        <w:t>PROCEDURA REKRUTACJI I ZATRUDNIANIA PRACOWNIKÓW BIURA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EE58D9">
                              <w:trPr>
                                <w:trHeight w:val="740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Podtytuł"/>
                                    <w:id w:val="359203952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E58D9" w:rsidRDefault="007263D3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</w:rPr>
                                        <w:t>STOWARZYSZENIA LOKALNA GRUPA DZIAŁANIA SZLAK TATARSKI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EE58D9" w:rsidRDefault="00EE58D9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id="Ramka1" o:spid="_x0000_s1026" style="position:absolute;margin-left:-5.4pt;margin-top:71.1pt;width:481.9pt;height:319.2pt;z-index:2;visibility:visible;mso-wrap-style:square;mso-width-percent:1000;mso-wrap-distance-left:7.05pt;mso-wrap-distance-top:0;mso-wrap-distance-right:7.05pt;mso-wrap-distance-bottom:0;mso-position-horizontal:absolute;mso-position-horizontal-relative:text;mso-position-vertical:absolute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EE58D9">
                        <w:trPr>
                          <w:trHeight w:val="2960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eastAsiaTheme="majorEastAsia" w:hAnsi="Palatino Linotype" w:cstheme="majorBidi"/>
                                <w:caps/>
                                <w:szCs w:val="24"/>
                              </w:rPr>
                            </w:pPr>
                            <w:bookmarkStart w:id="1" w:name="_Hlk503169591"/>
                          </w:p>
                        </w:tc>
                      </w:tr>
                      <w:tr w:rsidR="00EE58D9">
                        <w:trPr>
                          <w:trHeight w:val="1299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  <w:bottom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Tytuł"/>
                              <w:id w:val="60439520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EE58D9" w:rsidRDefault="007263D3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  <w:sz w:val="36"/>
                                  </w:rPr>
                                  <w:t>PROCEDURA REKRUTACJI I ZATRUDNIANIA PRACOWNIKÓW BIURA</w:t>
                                </w:r>
                              </w:p>
                            </w:sdtContent>
                          </w:sdt>
                        </w:tc>
                      </w:tr>
                      <w:tr w:rsidR="00EE58D9">
                        <w:trPr>
                          <w:trHeight w:val="740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Podtytuł"/>
                              <w:id w:val="359203952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EE58D9" w:rsidRDefault="007263D3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</w:rPr>
                                  <w:t>STOWARZYSZENIA LOKALNA GRUPA DZIAŁANIA SZLAK TATARSKI</w:t>
                                </w:r>
                              </w:p>
                            </w:sdtContent>
                          </w:sdt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EE58D9" w:rsidRDefault="00EE58D9">
                      <w:pPr>
                        <w:pStyle w:val="Zawartoramki"/>
                      </w:pPr>
                    </w:p>
                  </w:txbxContent>
                </v:textbox>
                <w10:wrap type="square" anchory="margin"/>
              </v:rect>
            </w:pict>
          </mc:Fallback>
        </mc:AlternateConten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Załącznik Nr 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>1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do Uchwały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Nr 2/I/2018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 </w:t>
      </w:r>
      <w:r w:rsidR="004D325B" w:rsidRPr="00E91807">
        <w:rPr>
          <w:rFonts w:ascii="Palatino Linotype" w:eastAsiaTheme="minorHAnsi" w:hAnsi="Palatino Linotype"/>
          <w:color w:val="000000" w:themeColor="text1"/>
          <w:lang w:eastAsia="en-US"/>
        </w:rPr>
        <w:t>Zarządu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Stowarzyszenia Lokalna Grupa Działania Szlak Tatarski z dnia 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>22</w:t>
      </w:r>
      <w:r w:rsidR="004D325B"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stycznia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201</w:t>
      </w:r>
      <w:r w:rsidR="004D325B" w:rsidRPr="00E91807">
        <w:rPr>
          <w:rFonts w:ascii="Palatino Linotype" w:eastAsiaTheme="minorHAnsi" w:hAnsi="Palatino Linotype"/>
          <w:color w:val="000000" w:themeColor="text1"/>
          <w:lang w:eastAsia="en-US"/>
        </w:rPr>
        <w:t>8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r.</w:t>
      </w:r>
    </w:p>
    <w:p w:rsidR="00EE58D9" w:rsidRDefault="00EE58D9">
      <w:pPr>
        <w:rPr>
          <w:rFonts w:ascii="Palatino Linotype" w:hAnsi="Palatino Linotype"/>
        </w:rPr>
      </w:pPr>
    </w:p>
    <w:p w:rsidR="00EE58D9" w:rsidRDefault="007263D3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8745" distR="118745" simplePos="0" relativeHeight="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120130" cy="380365"/>
                <wp:effectExtent l="0" t="0" r="0" b="0"/>
                <wp:wrapSquare wrapText="bothSides"/>
                <wp:docPr id="3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3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EE58D9">
                              <w:trPr>
                                <w:jc w:val="center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E58D9" w:rsidRDefault="00EE58D9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id="Ramka2" o:spid="_x0000_s1027" style="position:absolute;margin-left:0;margin-top:0;width:481.9pt;height:29.95pt;z-index:3;visibility:visible;mso-wrap-style:square;mso-width-percent:1000;mso-wrap-distance-left:9.35pt;mso-wrap-distance-top:0;mso-wrap-distance-right:9.35pt;mso-wrap-distance-bottom:0;mso-position-horizontal:center;mso-position-horizontal-relative:margin;mso-position-vertical:bottom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EE58D9">
                        <w:trPr>
                          <w:jc w:val="center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EE58D9" w:rsidRDefault="00EE58D9">
                      <w:pPr>
                        <w:pStyle w:val="Zawartoramki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EE58D9" w:rsidRDefault="007263D3">
      <w:pPr>
        <w:widowControl/>
        <w:suppressAutoHyphens w:val="0"/>
        <w:rPr>
          <w:rFonts w:ascii="Palatino Linotype" w:hAnsi="Palatino Linotype"/>
          <w:color w:val="7F7F7F" w:themeColor="background1" w:themeShade="7F"/>
          <w:spacing w:val="60"/>
        </w:rPr>
      </w:pPr>
      <w:r>
        <w:br w:type="page"/>
      </w:r>
    </w:p>
    <w:p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PROCEDURA REKRUTACJI I ZATRUDNIANIA PRACOWNIKÓW </w:t>
      </w:r>
    </w:p>
    <w:p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STOWARZYSZENIA LOKALNA GRUPA DZIAŁANIA SZLAK TATARSKI</w:t>
      </w:r>
    </w:p>
    <w:p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1.</w:t>
      </w:r>
    </w:p>
    <w:p w:rsidR="00EE58D9" w:rsidRDefault="007263D3">
      <w:pPr>
        <w:tabs>
          <w:tab w:val="left" w:pos="3969"/>
        </w:tabs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Postanowienia ogólne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before="240"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Niniejszy dokument reguluje zasady rekrutacji i zatrudniania pracowników Biura Stowarzyszenia obsadzane na podstawie umowy o pracę lub umowy zlecenia w drodze konkursu w oparciu o przejrzyste kryteria oraz zagwarantowanie równego dostępu do miejsc pracy. 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Zasady określają </w:t>
      </w:r>
      <w:r>
        <w:rPr>
          <w:rFonts w:ascii="Palatino Linotype" w:hAnsi="Palatino Linotype" w:cs="Book Antiqua"/>
        </w:rPr>
        <w:t>czynności od przygotowania rekrutacji do wyłonienia kandydata bez czynności nawiązywania stosunku pracy.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Zasady stosuje się każdorazowo gdy zachodzi konieczność zatrudniania nowego pracownika dla istniejącego bądź nowotworzonego stanowiska pracy.</w:t>
      </w:r>
    </w:p>
    <w:p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2.</w:t>
      </w:r>
    </w:p>
    <w:p w:rsidR="00EE58D9" w:rsidRDefault="007263D3">
      <w:pPr>
        <w:pStyle w:val="Standard"/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/>
          <w:b/>
        </w:rPr>
        <w:t>Etapy rekrutacji</w:t>
      </w:r>
    </w:p>
    <w:p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Nabór kandydatów na wolne stanowiska pracy jest otwarty i konkurencyjny.</w:t>
      </w:r>
    </w:p>
    <w:p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rekrutacji na stanowisko Kierownika Biura proces oceny i przyjęcia kandydata przeprowadza Zarząd, w pozostałych przypadkach postępuje się zgodnie z poniższym procesem rekrutacji:</w:t>
      </w:r>
    </w:p>
    <w:p w:rsidR="00EE58D9" w:rsidRDefault="007263D3">
      <w:pPr>
        <w:pStyle w:val="Standard"/>
        <w:numPr>
          <w:ilvl w:val="0"/>
          <w:numId w:val="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Podjęcie przez Zarząd decyzji o </w:t>
      </w:r>
      <w:r>
        <w:rPr>
          <w:rFonts w:ascii="Palatino Linotype" w:hAnsi="Palatino Linotype" w:cs="Book Antiqua"/>
        </w:rPr>
        <w:t>rozpoczęciu naboru na wolne stanowisko pracy.</w:t>
      </w:r>
    </w:p>
    <w:p w:rsidR="00EE58D9" w:rsidRDefault="007263D3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Ogłoszenie </w:t>
      </w:r>
      <w:r>
        <w:rPr>
          <w:rFonts w:ascii="Palatino Linotype" w:hAnsi="Palatino Linotype" w:cs="Book Antiqua"/>
        </w:rPr>
        <w:t>o naborze pracowników:</w:t>
      </w:r>
    </w:p>
    <w:p w:rsidR="00EE58D9" w:rsidRDefault="007263D3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przygotowywane przez Kierownika Biura,</w:t>
      </w:r>
    </w:p>
    <w:p w:rsidR="00EE58D9" w:rsidRDefault="007263D3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powinno zawierać w szczególności: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 xml:space="preserve">nazwę i adres jednostki,  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nazwę stanowiska pracy,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wymagań koniecznych i dodatkowych zgodnie z opisem danego stanowiska,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zakresu zadań wykonywanych na stanowisku,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wymaganych dokumentów aplikacyjnych,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terminu, miejsca oraz sposobu składania ofert.</w:t>
      </w:r>
    </w:p>
    <w:p w:rsidR="00EE58D9" w:rsidRDefault="007263D3">
      <w:pPr>
        <w:pStyle w:val="Standard"/>
        <w:ind w:left="709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zamieszczane:</w:t>
      </w:r>
    </w:p>
    <w:p w:rsidR="00EE58D9" w:rsidRDefault="007263D3">
      <w:pPr>
        <w:pStyle w:val="Standard"/>
        <w:numPr>
          <w:ilvl w:val="0"/>
          <w:numId w:val="5"/>
        </w:numPr>
        <w:tabs>
          <w:tab w:val="left" w:pos="1082"/>
          <w:tab w:val="left" w:pos="1247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 siedzibie Stowarzyszenia,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w biurach pośrednictwa pracy oraz w miarę potrzeb w lokalnej prasie,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stronie internetowej Stowarzyszenia,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minimum dwa tygodnie przed terminem rozpoczęcia przyjmowania ofert kandydatów.</w:t>
      </w:r>
    </w:p>
    <w:p w:rsidR="00EE58D9" w:rsidRDefault="007263D3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Dokumenty aplikacyjne: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- są składane w terminie nie krótszym niż 7 dni, licząc od ostatniego dnia publikacji ogłoszenia na stronie internetowej,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osobiście przez kandydatów w Biurze LGD (wyklucza się przesyłanie ofert drogą </w:t>
      </w:r>
      <w:r>
        <w:rPr>
          <w:rFonts w:ascii="Palatino Linotype" w:hAnsi="Palatino Linotype"/>
        </w:rPr>
        <w:lastRenderedPageBreak/>
        <w:t>elektroniczną, drogą listowną),</w:t>
      </w:r>
    </w:p>
    <w:p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</w:t>
      </w:r>
      <w:r>
        <w:rPr>
          <w:rFonts w:ascii="Palatino Linotype" w:hAnsi="Palatino Linotype" w:cs="Book Antiqua"/>
        </w:rPr>
        <w:t>w zamkniętej kopercie z dopiskiem „Nabór na stanowisko...”,</w:t>
      </w:r>
    </w:p>
    <w:p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obejmują: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list motywacyjny (własnoręcznie podpisany),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życiorys – curriculum vitae (własnoręcznie podpisany),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dokumentów potwierdzających wykształcenie (potwierdzone za 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zaświadczeń o ukończonych kursach, szkoleniach (potwierdzone za 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dokumenty poświadczające staż pracy (potwierdzone za 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niekaralności za przestępstwo popełnione umyślnie poświadczone własnoręcznym podpisem,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o wyrażeniu zgody na przetwarzanie danych osobowych dla potrzeb procesu rekrutacji zgodnie z ustawą z dnia 29 sierpnia 1997 r. o ochronie danych osobowych (teks jednolity z 2002 roku, Dz. U. Nr 101, poz. 926 ze zm.) poświadczone własnoręcznym podpisem,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posiadaniu zdolności do czynności prawnych oraz korzystanie z pełni praw publicznych poświadczone własnoręcznym podpisem.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przyjęcie dokumentów potwierdza pracownik Biura a za termin wpłynięcia oferty uznaje się datę jej dostarczenia do Biura Stowarzyszenia.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Ocena formalna: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Biura, który: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złożone po terminie lub sposób niezgodny z ogłoszeniem,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nie zawierające wymaganej treścią ogłoszenia dokumentacji,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dostarczone przez osoby niespełniające minimalnych wymagań,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Ocena merytoryczna: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Biura, który:</w:t>
      </w:r>
    </w:p>
    <w:p w:rsidR="00EE58D9" w:rsidRDefault="007263D3">
      <w:pPr>
        <w:pStyle w:val="Standard"/>
        <w:numPr>
          <w:ilvl w:val="0"/>
          <w:numId w:val="8"/>
        </w:numPr>
        <w:tabs>
          <w:tab w:val="left" w:pos="-52"/>
          <w:tab w:val="left" w:pos="113"/>
        </w:tabs>
        <w:ind w:left="1418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przeprowadza rozmowy kwalifikacyjne z kandydatami, którzy pozytywnie przeszli ocenę formalną,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sprawdza wiedzę, predyspozycje i umiejętności praktyczne kandydata do pracy na danym stanowisku na podstawie testu pisemnego lub ustnego.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Ostateczna rozmowa kwalifikacyjna: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przeprowadzana:</w:t>
      </w:r>
    </w:p>
    <w:p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przez Prezesa Zarządu,</w:t>
      </w:r>
    </w:p>
    <w:p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 r</w:t>
      </w:r>
      <w:r>
        <w:rPr>
          <w:rFonts w:ascii="Palatino Linotype" w:hAnsi="Palatino Linotype" w:cs="Book Antiqua"/>
        </w:rPr>
        <w:t>ekomendowanymi przez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 w:cs="Book Antiqua"/>
        </w:rPr>
        <w:t xml:space="preserve">Kierownika Biura </w:t>
      </w:r>
      <w:r>
        <w:rPr>
          <w:rFonts w:ascii="Palatino Linotype" w:hAnsi="Palatino Linotype"/>
        </w:rPr>
        <w:t>kandydatami,</w:t>
      </w:r>
      <w:r>
        <w:rPr>
          <w:rFonts w:ascii="Palatino Linotype" w:hAnsi="Palatino Linotype" w:cs="Book Antiqua"/>
        </w:rPr>
        <w:t xml:space="preserve"> którzy najlepiej wypadli podczas rozmowy kwalifikacyjnej.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Ustalenie warunków zatrudnienia jest dokonywane przez Prezesa Stowarzyszenia.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Zatrudnienie pracownika następuje poprzez podpisanie przez osoby upoważnione  do reprezentowania Stowarzyszenia umowy o pracę/umowy zlecenia.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Poinformowanie o wynikach rekrutacji</w:t>
      </w:r>
      <w:r>
        <w:rPr>
          <w:rFonts w:ascii="Palatino Linotype" w:hAnsi="Palatino Linotype" w:cs="Book Antiqua"/>
        </w:rPr>
        <w:t xml:space="preserve"> następuje w terminie 14 dni od dnia zatrudnienia wybranego kandydata albo zakończenia procedury naboru. 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 procesu rekrutacyjnego sporządza się protokół, </w:t>
      </w:r>
      <w:r>
        <w:rPr>
          <w:rFonts w:ascii="Palatino Linotype" w:hAnsi="Palatino Linotype" w:cs="Book Antiqua"/>
        </w:rPr>
        <w:t>który powinien zawierać: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lastRenderedPageBreak/>
        <w:t>określenie stanowiska, na które prowadzony był nabór,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złożyli ofertę,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spełnili wymagania formalne,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wskazanie </w:t>
      </w:r>
      <w:r>
        <w:rPr>
          <w:rFonts w:ascii="Palatino Linotype" w:hAnsi="Palatino Linotype" w:cs="Book Antiqua"/>
          <w:strike/>
        </w:rPr>
        <w:t>2</w:t>
      </w:r>
      <w:r>
        <w:rPr>
          <w:rFonts w:ascii="Palatino Linotype" w:hAnsi="Palatino Linotype" w:cs="Book Antiqua"/>
        </w:rPr>
        <w:t xml:space="preserve"> najlepszych kandydatów, z podaniem imion, nazwisk i miejsca zamieszkania, uszeregowania wg spełnienia przez nich poziomu wymagań określonych w ogłoszeniu o naborze,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informację o zastosowanej metodzie oceny merytorycznej z podaniem liczby uzyskanych punktów,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imię i nazwisko wybranego kandydata oraz jego miejsce zamieszkania,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uzasadnienie dokonanego wyboru.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zakończeniu procesu naboru na wolne stanowisko zamieszcza się informację na stronę internetową LGD Szlak Tatarki, która powinna  zawierać: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pełną nazwę i adres jednostki,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stanowiska,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imię i nazwisko wybranego kandydata,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uzasadnienie dokonanego wyboru kandydata albo uzasadnienie nie zatrudnienia żadnego kandydata na stanowisko.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 w:cs="Book Antiqua"/>
        </w:rPr>
      </w:pP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3.</w:t>
      </w:r>
    </w:p>
    <w:p w:rsidR="00EE58D9" w:rsidRDefault="007263D3">
      <w:pPr>
        <w:pStyle w:val="Standard"/>
        <w:tabs>
          <w:tab w:val="left" w:pos="113"/>
        </w:tabs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Postępowanie w przypadku trudności z wyłonieniem kandydata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niewpłynięcia żadnej oferty bądź odrzucenia na etapie wstępnej selekcji wszystkich ofert bądź nie wyłonienia kandydata podczas rozmowy kwalifikacyjnej Zarząd, podejmuje decyzję o ponownym ogłoszeniu naboru na tych samych zasadach i warunkach z podaniem nowego terminu składania ofert.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trudności z zatrudnieniem pracowników spełniających wymagania konieczne Zarząd ma prawo do zmiany niektórych z tych wymagań w celu zapewnienia ciągłości pracy Biura i zatrudnienie tymczasowo osoby nie w pełni je spełniających oraz ogłoszenia kolejnego konkursu, o krótszym terminie naboru i weryfikacji ofert.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pojawieniu się kandydatury osoby, która spełnia wcześniejsze stawiane wymagania ma Zarząd ma prawo do ogłoszenia nowego naboru na dane stanowisko w celu podniesienia jakości pracy Biura.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spacing w:after="240"/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gdy osoba wybrana do zatrudnienia zrezygnuje z podjęcia pracy, Zarząd ma możliwość zatrudnienia kolejnej osoby z listy kandydatów, bez konieczności ponawiania procesu rekrutacji o ile osoba ta spełnia konieczne wymagania.</w:t>
      </w: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4.</w:t>
      </w:r>
    </w:p>
    <w:p w:rsidR="00EE58D9" w:rsidRDefault="007263D3">
      <w:pPr>
        <w:pStyle w:val="Standard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– zakres obowiązków oraz wymagane kwalifikacje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EE58D9" w:rsidRDefault="007263D3">
      <w:pPr>
        <w:pStyle w:val="Standard"/>
        <w:numPr>
          <w:ilvl w:val="0"/>
          <w:numId w:val="1"/>
        </w:numPr>
        <w:tabs>
          <w:tab w:val="left" w:pos="113"/>
          <w:tab w:val="left" w:pos="426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Pracownikiem Biura LGD może być osoba, która: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kwalifikacje zawodowe wymagane do wykonywania pracy na określonym stanowisku,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ukończyła 18 rok życia i posiada pełną zdolność do czynności prawnych oraz korzysta z pełni praw publicznych,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lastRenderedPageBreak/>
        <w:t>nie była karana za przestępstwo popełnione umyślnie,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stan zdrowia pozwalający na zatrudnienie na określonym stanowisku,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jest obywatelem Polski lub obywatelem Unii Europejskiej i posługuje się biegle w mowie i piśmie językiem polskim.</w:t>
      </w:r>
    </w:p>
    <w:p w:rsidR="00EE58D9" w:rsidRDefault="00EE58D9">
      <w:pPr>
        <w:pStyle w:val="Standard"/>
        <w:tabs>
          <w:tab w:val="left" w:pos="113"/>
        </w:tabs>
        <w:jc w:val="both"/>
        <w:rPr>
          <w:rFonts w:ascii="Palatino Linotype" w:hAnsi="Palatino Linotype"/>
        </w:rPr>
      </w:pPr>
    </w:p>
    <w:p w:rsidR="00EE58D9" w:rsidRDefault="007263D3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Szczegółowe wymagania w odniesieniu do kandydatów aplikujących do pracy w Biurze LGD zawierają karty z opisem stanowisk stanowiące załącznik nr 1 do</w:t>
      </w:r>
      <w:r>
        <w:rPr>
          <w:rFonts w:ascii="Palatino Linotype" w:hAnsi="Palatino Linotype" w:cs="Book Antiqua"/>
          <w:strike/>
          <w:highlight w:val="yellow"/>
        </w:rPr>
        <w:t xml:space="preserve"> </w:t>
      </w:r>
      <w:r>
        <w:rPr>
          <w:rFonts w:ascii="Palatino Linotype" w:hAnsi="Palatino Linotype" w:cs="Book Antiqua"/>
        </w:rPr>
        <w:t>niniejszej procedury.</w:t>
      </w:r>
    </w:p>
    <w:p w:rsidR="00EE58D9" w:rsidRDefault="007263D3">
      <w:pPr>
        <w:pStyle w:val="Standard"/>
        <w:tabs>
          <w:tab w:val="left" w:pos="113"/>
        </w:tabs>
        <w:spacing w:before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5.</w:t>
      </w: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 w:cs="Book Antiqua"/>
          <w:b/>
        </w:rPr>
        <w:t>Postanowienia końcowe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EE58D9" w:rsidRDefault="007263D3">
      <w:pPr>
        <w:pStyle w:val="Standard"/>
        <w:numPr>
          <w:ilvl w:val="0"/>
          <w:numId w:val="2"/>
        </w:numPr>
        <w:tabs>
          <w:tab w:val="left" w:pos="113"/>
        </w:tabs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Procedury rekrutacyjnej nie stosuje się w przypadku:</w:t>
      </w:r>
    </w:p>
    <w:p w:rsidR="00EE58D9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zatrudnienia pracownika na zastępstwo (dotyczy zastępstw chorobowych, macierzyńskich i przypadków losowych),</w:t>
      </w:r>
    </w:p>
    <w:p w:rsidR="00EE58D9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zatrudnienia pracownika za pośrednictwem Powiatowego Urzędu Pracy (umowa na odbycie stażu, przygotowania zawodowego lub prac interwencyjnych),</w:t>
      </w:r>
    </w:p>
    <w:p w:rsidR="00EE58D9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wewnętrznych awansów.</w:t>
      </w: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jc w:val="both"/>
        <w:rPr>
          <w:rFonts w:ascii="Arial Narrow" w:hAnsi="Arial Narrow"/>
        </w:rPr>
      </w:pPr>
    </w:p>
    <w:p w:rsidR="00EE58D9" w:rsidRDefault="00EE58D9">
      <w:pPr>
        <w:jc w:val="center"/>
        <w:rPr>
          <w:rFonts w:ascii="Palatino Linotype" w:hAnsi="Palatino Linotype"/>
          <w:b/>
          <w:highlight w:val="yellow"/>
        </w:rPr>
      </w:pPr>
    </w:p>
    <w:p w:rsidR="00EE58D9" w:rsidRDefault="00EE58D9">
      <w:pPr>
        <w:jc w:val="both"/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  <w:bookmarkStart w:id="2" w:name="_GoBack"/>
      <w:bookmarkEnd w:id="2"/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7263D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Załącznik 1 do Procedury rekrutacji i zatrudniania pracowników Biura Stowarzyszenia Lokalna Grupa Działania Szlak Tatarski – Opis stanowisk pracy</w:t>
      </w:r>
    </w:p>
    <w:p w:rsidR="00EE58D9" w:rsidRDefault="00EE58D9">
      <w:pPr>
        <w:jc w:val="right"/>
        <w:rPr>
          <w:rFonts w:ascii="Palatino Linotype" w:hAnsi="Palatino Linotype"/>
        </w:rPr>
      </w:pPr>
    </w:p>
    <w:p w:rsidR="00EE58D9" w:rsidRDefault="007263D3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PRACY</w:t>
      </w:r>
    </w:p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LGD/</w:t>
            </w:r>
            <w:bookmarkStart w:id="3" w:name="__DdeLink__1297_3556869797"/>
            <w:bookmarkEnd w:id="3"/>
            <w:r>
              <w:rPr>
                <w:rFonts w:ascii="Palatino Linotype" w:hAnsi="Palatino Linotype"/>
              </w:rPr>
              <w:t>pracownik biura pełniący obowiązki kierownika biura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Stanowiska podległe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Wszystkie stanowiska utworzone w biurze LGD, czyli: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specjalista ds. wdrażania LSR i księgowości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asystent ds. wdrażania LSR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kompleksowe zarządzanie Biurem LGD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procesu wdrażania wielofunduszowej Lokalnej Strategii Rozwoju dla obszaru LGD Szlak Tatarski w ramach RLKS na lata 2014-2020,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spotkań konsultacyjnych dla mieszkańców obszaru LGD Szlak Tatarski w biurze LGD oraz na terenie gmin członkowskich LGD Szlak Tatarski,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konsultacji związanych z przygotowaniem LSR w godzinach pracy biura LGD,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zarządzanie bieżącymi pracami biura LGD oraz sprawami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określanie zadań pracownikom biura,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wykonywanie uchwał Walnego Zebrania Członków i Zarządu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realizacje zadań określonych przez Zarząd,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koordynacje procesu informowania o obszarze objętym LSR, realizacja LSR oraz działalności LGD,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gromadzenie i udostępnianie informacji i dokumentacji z zakresu działalności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działalności wydawniczej,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wydawanie wewnętrznych materiałów informacyjnych i problemowych,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aktualizacja strony internetowej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obsługa organów LGD: Walnego Zebrania Członków, </w:t>
            </w:r>
            <w:r>
              <w:rPr>
                <w:rFonts w:ascii="Palatino Linotype" w:hAnsi="Palatino Linotype"/>
              </w:rPr>
              <w:lastRenderedPageBreak/>
              <w:t>Zarządu, Rady oraz Komisji Rewizyjnej, w tym:</w:t>
            </w:r>
          </w:p>
          <w:p w:rsidR="00EE58D9" w:rsidRDefault="007263D3">
            <w:pPr>
              <w:pStyle w:val="Standard"/>
              <w:ind w:left="604" w:firstLine="142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przygotowywanie materiałów na posiedzenia organów,</w:t>
            </w:r>
          </w:p>
          <w:p w:rsidR="00EE58D9" w:rsidRDefault="007263D3">
            <w:pPr>
              <w:pStyle w:val="Standard"/>
              <w:ind w:left="888" w:hanging="142"/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-prowadzenie dokumentacji związanej z działalnością organów</w:t>
            </w:r>
          </w:p>
          <w:p w:rsidR="00EE58D9" w:rsidRDefault="007263D3">
            <w:pPr>
              <w:pStyle w:val="Standard"/>
              <w:tabs>
                <w:tab w:val="left" w:pos="1029"/>
              </w:tabs>
              <w:ind w:left="746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-prowadzenie rejestru uchwał i wydawanie ich uprawnionym organom,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dokumentacji członkowskiej,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opracowywanie planów pracy, budżetu oraz sprawozdań merytorycznych,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korespondencji,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rożnego rodzaju naradach, sympozjach, szkoleniach, uroczystościach związanych z działalnością Stowarzyszenia,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utrzymanie stałego kontaktu z członkami wspierającymi,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sprawowanie pieczy nad sprzętem biurowym oraz zlecanie przeprowadzenia jego konserwacji lub naprawy,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bieżące nadzorowanie oraz koordynowanie prac związanych z realizacją projektów grantowych, operacji własnych oraz projektów współpracy,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bieżące nadzorowanie oraz koordynowanie prac związanych z realizacją i rozliczeniem projektu pt. „Wsparcie na rzecz kosztów bieżących i aktywizacji Stowarzyszenia Lokalna Grupa Działania Szlak Tatarski”,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pełnienie obowiązków Administratora Bezpieczeństwa Informacji.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Ponoszenie odpowiedzialności za koordynację wszelkich prac wykonywanych przez biuro LGD.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691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</w:t>
            </w:r>
          </w:p>
          <w:p w:rsidR="00EE58D9" w:rsidRDefault="007263D3" w:rsidP="00EE5691">
            <w:pPr>
              <w:pStyle w:val="Standard"/>
              <w:numPr>
                <w:ilvl w:val="1"/>
                <w:numId w:val="13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 xml:space="preserve">co najmniej 2 letni staż pracy na stanowisku kierowniczym </w:t>
            </w:r>
          </w:p>
          <w:p w:rsidR="00EE58D9" w:rsidRPr="00E91807" w:rsidRDefault="00EE5691" w:rsidP="00EE5691">
            <w:pPr>
              <w:pStyle w:val="Standard"/>
              <w:numPr>
                <w:ilvl w:val="1"/>
                <w:numId w:val="13"/>
              </w:numPr>
              <w:jc w:val="both"/>
              <w:rPr>
                <w:rFonts w:hint="eastAsia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w przypadku </w:t>
            </w:r>
            <w:r w:rsidR="007263D3" w:rsidRPr="00E91807">
              <w:rPr>
                <w:rFonts w:ascii="Palatino Linotype" w:hAnsi="Palatino Linotype"/>
                <w:color w:val="auto"/>
              </w:rPr>
              <w:t>pracownik</w:t>
            </w:r>
            <w:r w:rsidRPr="00E91807">
              <w:rPr>
                <w:rFonts w:ascii="Palatino Linotype" w:hAnsi="Palatino Linotype"/>
                <w:color w:val="auto"/>
              </w:rPr>
              <w:t>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wyznaczonego przez Prezesa do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pełni</w:t>
            </w:r>
            <w:r w:rsidRPr="00E91807">
              <w:rPr>
                <w:rFonts w:ascii="Palatino Linotype" w:hAnsi="Palatino Linotype"/>
                <w:color w:val="auto"/>
              </w:rPr>
              <w:t>enia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obowiązk</w:t>
            </w:r>
            <w:r w:rsidRPr="00E91807">
              <w:rPr>
                <w:rFonts w:ascii="Palatino Linotype" w:hAnsi="Palatino Linotype"/>
                <w:color w:val="auto"/>
              </w:rPr>
              <w:t>ów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kierownika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wymagany jest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co najmniej roczny staż pracy w biurze LGD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posiadanie wiedzy na temat Programu Rozwoju Obszarów Wiejskich oraz wszystkich dokumentów (ustaw, rozporządzeń, wzorów wniosków) związanych z realizacją </w:t>
            </w:r>
            <w:r>
              <w:rPr>
                <w:rFonts w:ascii="Palatino Linotype" w:hAnsi="Palatino Linotype"/>
              </w:rPr>
              <w:lastRenderedPageBreak/>
              <w:t>PROW,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przynajmniej jednego języka obcego w stopniu komunikatywnym,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umiejętności interpersonalne,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Specjalista do spraw wdrażania LSR i księgowości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realizacja administracyjnych działań projektowych, wsparcie LGD w zakresie wdrażania LSR oraz pomoc w</w:t>
            </w:r>
            <w:r>
              <w:rPr>
                <w:rFonts w:ascii="Palatino Linotype" w:hAnsi="Palatino Linotype"/>
                <w:shd w:val="clear" w:color="auto" w:fill="FFFFFF"/>
              </w:rPr>
              <w:t xml:space="preserve"> finansowym rozliczaniu prowadzonych działań w ramach realizacji projektu </w:t>
            </w:r>
            <w:r>
              <w:rPr>
                <w:rFonts w:ascii="Palatino Linotype" w:hAnsi="Palatino Linotype"/>
              </w:rPr>
              <w:t>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Pr="00E91807" w:rsidRDefault="007263D3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E91807">
              <w:rPr>
                <w:rFonts w:ascii="Palatino Linotype" w:hAnsi="Palatino Linotype"/>
                <w:b/>
                <w:bCs/>
                <w:color w:val="auto"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hint="eastAsia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realizacja projektu z zakresu wsparcia kosztów bieżących i aktywizacji w ramach: Osi Priorytetowej IX Rozwój Lokalny, Działania 9.1 Rewitalizacja społeczna i kształtowanie kapitału społecznego. Typ projektu 11) Bieżąca działalność związana z realizacją strategii oraz działania animacyjne dotyczące LSR,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aktywny udział w pracach związanych z wdrażaniem Lokalnej Strategii Rozwoju,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nadzór i zrządzanie materiałami związanymi z realizacją operacji,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przygotowywanie działań promocyjnych, szkoleniowych, posiedzeń organów LGD,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monitorowanie stopnia realizacji poszczególnych operacji oraz osiąganych rezultatów,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lastRenderedPageBreak/>
              <w:t>składanie sprawozdań kierownikowi biura LGD z przebiegu realizacji poszczególnych zadań,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bieżących spraw związanych z funkcjonowaniem i organizacją pracy biura,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kontrolowanie poziomu wydatków przewidzianych dla poszczególnych działań,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księgowości w zakresie:</w:t>
            </w:r>
          </w:p>
          <w:p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księgowania faktur i pozostałych dokumentów finansowych,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przygotowywania poleceń przelewu do banku,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list płac,</w:t>
            </w:r>
          </w:p>
          <w:p w:rsidR="00EE58D9" w:rsidRPr="00E91807" w:rsidRDefault="007263D3">
            <w:pPr>
              <w:pStyle w:val="Standard"/>
              <w:ind w:left="747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w obowiązujących terminach deklaracji i informacji do Urzędu</w:t>
            </w:r>
          </w:p>
          <w:p w:rsidR="00EE58D9" w:rsidRPr="00E91807" w:rsidRDefault="007263D3">
            <w:pPr>
              <w:pStyle w:val="Standard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            Skarbowego i ZUS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kasy,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współpraca z instytucjami zew. (US, ZUS, bank),</w:t>
            </w:r>
          </w:p>
          <w:p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spraw kadrowych, w szczególności akt osobowych pracowników, ewidencja czasu pracy,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udział w realizacji projektów grantowych, operacji własnych oraz projektów współpracy,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wdrożenie LSR,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administracyjna obsługa projektu oraz kontrolowanie poziomu wydatków budżetowych z projektem w poszczególnych zakresach działań,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części spraw księgowych, finansowych i kadrowych.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roczny staż pracy na 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 i programów księgowych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Asystent do spraw wdrażania LSR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1"/>
                <w:numId w:val="18"/>
              </w:numPr>
              <w:ind w:left="1440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1"/>
                <w:numId w:val="18"/>
              </w:numPr>
              <w:ind w:left="214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 </w:t>
            </w:r>
            <w:r>
              <w:rPr>
                <w:rFonts w:ascii="Palatino Linotype" w:hAnsi="Palatino Linotype"/>
              </w:rPr>
              <w:t>realizacja administracyjnych działań projektowych projektu pt. „Wsparcie na rzecz kosztów bieżących i aktywizacji Stowarzyszenia Lokalna Grupa Działania Szlak Tatarski”, wsparcie LGD w zakresie wdrażania LSR.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aktywny udział w pracach związanych z wdrażaniem Lokalnej Strategii Rozwoju,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nadzór i zrządzanie materiałami związanymi z realizacją operacji,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przygotowywanie działań promocyjnych, szkoleniowych, posiedzeń organów LGD,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biura.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 realizacji projektów grantowych, operacji własnych oraz projektów współpracy,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wdrożenie LSR,</w:t>
            </w:r>
          </w:p>
          <w:p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prowadzenie bieżących spraw związanych </w:t>
            </w:r>
            <w:r>
              <w:rPr>
                <w:rFonts w:ascii="Palatino Linotype" w:hAnsi="Palatino Linotype"/>
              </w:rPr>
              <w:lastRenderedPageBreak/>
              <w:t>z funkcjonowaniem i organizacją pracy biura.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półroczny staż pracy na 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 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rPr>
          <w:rFonts w:ascii="Palatino Linotype" w:hAnsi="Palatino Linotype"/>
        </w:rPr>
      </w:pPr>
    </w:p>
    <w:tbl>
      <w:tblPr>
        <w:tblW w:w="9692" w:type="dxa"/>
        <w:jc w:val="right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1"/>
        <w:gridCol w:w="7371"/>
      </w:tblGrid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Księgowa/obsługa finansowo-księgowa</w:t>
            </w:r>
          </w:p>
        </w:tc>
      </w:tr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0"/>
                <w:numId w:val="19"/>
              </w:numPr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4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rPr>
          <w:jc w:val="right"/>
        </w:trPr>
        <w:tc>
          <w:tcPr>
            <w:tcW w:w="96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finansowe rozliczanie prowadzonych działań w ramach realizacji projektu pt. „Wsparcie na rzecz kosztów bieżących i aktywizacji Stowarzyszenia Lokalna Grupa Działania Szlak Tatarski”.</w:t>
            </w:r>
          </w:p>
        </w:tc>
      </w:tr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rachunkowości  zgodnie z aktualnymi przepisami prawa,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wykonywanie obowiązków sprawozdawczych ustalonych przez Główny Urząd Statystyczny,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należyte przechowywanie i zabezpieczenie dokumentów księgowych, ksiąg rachunkowych, sprawozdań finansowych,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bieżące, prawidłowe prowadzenie księgowości z zastosowaniem racjonalnej organizacji pracy i techniki przetwarzania danych,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rejestrację operacji gospodarczych – finansowych,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obowiązujących dowodów księgowych, kasowych i magazynowych,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lastRenderedPageBreak/>
              <w:t>dokonywanie zamknięcia rocznego ksiąg oraz sporządzanie wymaganych zasadami rachunkowości sprawozdań finansowych w tym GUS,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w obowiązującym terminie deklaracji i wykazów dla celów organów podatkowych i ZUS,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udostępnianie ksiąg oraz dokumentów finansowych do kontroli sprawowanej przez uprawnione organa kontrolne,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ewidencji środków trwałych i wyposażenia,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kartotek wynagrodzeń,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listy płac,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regulowanie płatności wynikających z zobowiązań,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odprowadzanie składek ZUS, rozliczenie z ZUS i wypłat zasiłków chorobowych,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wystawianie rachunków,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dokumentacji składek członków zwyczajnych i wspierających,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spraw kadrowych,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opracowywanie projektu preliminarza budżetowego,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czuwanie nad prawidłowym przebiegiem wykonania budżetu Stowarzyszenia,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realizowanie wydatków w zakresie ubezpieczeń społecznych i kosztów podróży,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systematycznej kontroli wewnętrznej dokumentów zgodnie z obowiązującymi przepisami prawa,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pism, wniosków i podań związanych z działalnością finansowo-księgową Stowarzyszenia.</w:t>
            </w:r>
          </w:p>
        </w:tc>
      </w:tr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ponoszenie odpowiedzialności za: obsługę finansową Stowarzyszenia, prowadzenie księgowości, sprawozdawczość finansową oraz terminowe rozliczenia finansowe zgodnie z obowiązującymi w tym zakresie przepisami prawa.</w:t>
            </w:r>
          </w:p>
        </w:tc>
      </w:tr>
      <w:tr w:rsidR="00EE58D9">
        <w:trPr>
          <w:jc w:val="right"/>
        </w:trPr>
        <w:tc>
          <w:tcPr>
            <w:tcW w:w="96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 lub średnie (o kierunku: finanse, księgowość, ekonomia)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2 letni staż pracy na 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 ustawy o finansach publicznych,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EE58D9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rozliczania projektów współfinansowanych z budżetu UE lub innych,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programów księgowych,</w:t>
            </w:r>
          </w:p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biurowych.</w:t>
            </w:r>
          </w:p>
        </w:tc>
      </w:tr>
    </w:tbl>
    <w:p w:rsidR="00EE58D9" w:rsidRDefault="00EE58D9"/>
    <w:sectPr w:rsidR="00EE58D9">
      <w:footerReference w:type="default" r:id="rId7"/>
      <w:pgSz w:w="11906" w:h="16838"/>
      <w:pgMar w:top="1134" w:right="1134" w:bottom="1134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DFF" w:rsidRDefault="00306DFF">
      <w:r>
        <w:separator/>
      </w:r>
    </w:p>
  </w:endnote>
  <w:endnote w:type="continuationSeparator" w:id="0">
    <w:p w:rsidR="00306DFF" w:rsidRDefault="0030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567134"/>
      <w:docPartObj>
        <w:docPartGallery w:val="Page Numbers (Bottom of Page)"/>
        <w:docPartUnique/>
      </w:docPartObj>
    </w:sdtPr>
    <w:sdtEndPr/>
    <w:sdtContent>
      <w:p w:rsidR="00EE58D9" w:rsidRDefault="007263D3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04D8B">
          <w:rPr>
            <w:noProof/>
          </w:rPr>
          <w:t>8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EE58D9" w:rsidRDefault="00EE58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DFF" w:rsidRDefault="00306DFF">
      <w:r>
        <w:separator/>
      </w:r>
    </w:p>
  </w:footnote>
  <w:footnote w:type="continuationSeparator" w:id="0">
    <w:p w:rsidR="00306DFF" w:rsidRDefault="0030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463"/>
    <w:multiLevelType w:val="multilevel"/>
    <w:tmpl w:val="98CEA92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alatino Linotype" w:eastAsia="SimSun" w:hAnsi="Palatino Linotype" w:cs="Book Antiqua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8113A"/>
    <w:multiLevelType w:val="multilevel"/>
    <w:tmpl w:val="047EA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560A16"/>
    <w:multiLevelType w:val="multilevel"/>
    <w:tmpl w:val="1B5A9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B0445DC"/>
    <w:multiLevelType w:val="multilevel"/>
    <w:tmpl w:val="8AC2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D4C64"/>
    <w:multiLevelType w:val="multilevel"/>
    <w:tmpl w:val="C958D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59683A"/>
    <w:multiLevelType w:val="multilevel"/>
    <w:tmpl w:val="731A0C1E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5"/>
        <w:szCs w:val="15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6" w15:restartNumberingAfterBreak="0">
    <w:nsid w:val="13A66A86"/>
    <w:multiLevelType w:val="multilevel"/>
    <w:tmpl w:val="ECA63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B1A7E"/>
    <w:multiLevelType w:val="multilevel"/>
    <w:tmpl w:val="27FC5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BF72F0"/>
    <w:multiLevelType w:val="multilevel"/>
    <w:tmpl w:val="79402B7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5B2603"/>
    <w:multiLevelType w:val="multilevel"/>
    <w:tmpl w:val="D82E1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B9214D"/>
    <w:multiLevelType w:val="multilevel"/>
    <w:tmpl w:val="581ED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3958E4"/>
    <w:multiLevelType w:val="multilevel"/>
    <w:tmpl w:val="F98067A2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90E34C6"/>
    <w:multiLevelType w:val="multilevel"/>
    <w:tmpl w:val="A7D0616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99B5195"/>
    <w:multiLevelType w:val="multilevel"/>
    <w:tmpl w:val="FBBCEBE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EE0AFA"/>
    <w:multiLevelType w:val="multilevel"/>
    <w:tmpl w:val="73029E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5E3AA8"/>
    <w:multiLevelType w:val="multilevel"/>
    <w:tmpl w:val="1E3A0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CB186B"/>
    <w:multiLevelType w:val="multilevel"/>
    <w:tmpl w:val="CFEA0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1664403"/>
    <w:multiLevelType w:val="multilevel"/>
    <w:tmpl w:val="DBC84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104A49"/>
    <w:multiLevelType w:val="multilevel"/>
    <w:tmpl w:val="46C0C25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5068A"/>
    <w:multiLevelType w:val="multilevel"/>
    <w:tmpl w:val="F71C8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B826CA"/>
    <w:multiLevelType w:val="multilevel"/>
    <w:tmpl w:val="7C62241C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21" w15:restartNumberingAfterBreak="0">
    <w:nsid w:val="47EB3BA3"/>
    <w:multiLevelType w:val="multilevel"/>
    <w:tmpl w:val="4C384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A8A5F0D"/>
    <w:multiLevelType w:val="multilevel"/>
    <w:tmpl w:val="98E288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46CAA"/>
    <w:multiLevelType w:val="multilevel"/>
    <w:tmpl w:val="0D167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F20B9"/>
    <w:multiLevelType w:val="multilevel"/>
    <w:tmpl w:val="13027B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6222B7"/>
    <w:multiLevelType w:val="multilevel"/>
    <w:tmpl w:val="FD30D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510BBA"/>
    <w:multiLevelType w:val="multilevel"/>
    <w:tmpl w:val="23C8F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597C0A"/>
    <w:multiLevelType w:val="multilevel"/>
    <w:tmpl w:val="D0421E3C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SimSun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28" w15:restartNumberingAfterBreak="0">
    <w:nsid w:val="635A3D7A"/>
    <w:multiLevelType w:val="multilevel"/>
    <w:tmpl w:val="55C4C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D41A21"/>
    <w:multiLevelType w:val="multilevel"/>
    <w:tmpl w:val="42205A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177"/>
    <w:multiLevelType w:val="multilevel"/>
    <w:tmpl w:val="7EFC0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0"/>
  </w:num>
  <w:num w:numId="4">
    <w:abstractNumId w:val="12"/>
  </w:num>
  <w:num w:numId="5">
    <w:abstractNumId w:val="11"/>
  </w:num>
  <w:num w:numId="6">
    <w:abstractNumId w:val="13"/>
  </w:num>
  <w:num w:numId="7">
    <w:abstractNumId w:val="8"/>
  </w:num>
  <w:num w:numId="8">
    <w:abstractNumId w:val="29"/>
  </w:num>
  <w:num w:numId="9">
    <w:abstractNumId w:val="22"/>
  </w:num>
  <w:num w:numId="10">
    <w:abstractNumId w:val="18"/>
  </w:num>
  <w:num w:numId="11">
    <w:abstractNumId w:val="30"/>
  </w:num>
  <w:num w:numId="12">
    <w:abstractNumId w:val="23"/>
  </w:num>
  <w:num w:numId="13">
    <w:abstractNumId w:val="5"/>
  </w:num>
  <w:num w:numId="14">
    <w:abstractNumId w:val="3"/>
  </w:num>
  <w:num w:numId="15">
    <w:abstractNumId w:val="17"/>
  </w:num>
  <w:num w:numId="16">
    <w:abstractNumId w:val="15"/>
  </w:num>
  <w:num w:numId="17">
    <w:abstractNumId w:val="24"/>
  </w:num>
  <w:num w:numId="18">
    <w:abstractNumId w:val="20"/>
  </w:num>
  <w:num w:numId="19">
    <w:abstractNumId w:val="27"/>
  </w:num>
  <w:num w:numId="20">
    <w:abstractNumId w:val="6"/>
  </w:num>
  <w:num w:numId="21">
    <w:abstractNumId w:val="9"/>
  </w:num>
  <w:num w:numId="22">
    <w:abstractNumId w:val="10"/>
  </w:num>
  <w:num w:numId="23">
    <w:abstractNumId w:val="14"/>
  </w:num>
  <w:num w:numId="24">
    <w:abstractNumId w:val="1"/>
  </w:num>
  <w:num w:numId="25">
    <w:abstractNumId w:val="26"/>
  </w:num>
  <w:num w:numId="26">
    <w:abstractNumId w:val="25"/>
  </w:num>
  <w:num w:numId="27">
    <w:abstractNumId w:val="21"/>
  </w:num>
  <w:num w:numId="28">
    <w:abstractNumId w:val="7"/>
  </w:num>
  <w:num w:numId="29">
    <w:abstractNumId w:val="4"/>
  </w:num>
  <w:num w:numId="30">
    <w:abstractNumId w:val="1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D9"/>
    <w:rsid w:val="00306DFF"/>
    <w:rsid w:val="004D325B"/>
    <w:rsid w:val="007263D3"/>
    <w:rsid w:val="008B75F2"/>
    <w:rsid w:val="008D1939"/>
    <w:rsid w:val="00BF5C64"/>
    <w:rsid w:val="00E04D8B"/>
    <w:rsid w:val="00E91807"/>
    <w:rsid w:val="00EE5691"/>
    <w:rsid w:val="00EE58D9"/>
    <w:rsid w:val="00E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5A73"/>
  <w15:docId w15:val="{3321724E-EFE1-4561-BB26-F82EDC38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66C71"/>
    <w:rPr>
      <w:rFonts w:eastAsiaTheme="minorEastAsi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ListLabel1">
    <w:name w:val="ListLabel 1"/>
    <w:qFormat/>
    <w:rPr>
      <w:rFonts w:ascii="Palatino Linotype" w:eastAsia="SimSun" w:hAnsi="Palatino Linotype" w:cs="Book Antiqu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5">
    <w:name w:val="ListLabel 5"/>
    <w:qFormat/>
    <w:rPr>
      <w:sz w:val="15"/>
      <w:szCs w:val="15"/>
    </w:rPr>
  </w:style>
  <w:style w:type="character" w:customStyle="1" w:styleId="ListLabel6">
    <w:name w:val="ListLabel 6"/>
    <w:qFormat/>
    <w:rPr>
      <w:sz w:val="15"/>
      <w:szCs w:val="15"/>
    </w:rPr>
  </w:style>
  <w:style w:type="character" w:customStyle="1" w:styleId="ListLabel7">
    <w:name w:val="ListLabel 7"/>
    <w:qFormat/>
    <w:rPr>
      <w:sz w:val="15"/>
      <w:szCs w:val="15"/>
    </w:rPr>
  </w:style>
  <w:style w:type="character" w:customStyle="1" w:styleId="ListLabel8">
    <w:name w:val="ListLabel 8"/>
    <w:qFormat/>
    <w:rPr>
      <w:sz w:val="15"/>
      <w:szCs w:val="15"/>
    </w:rPr>
  </w:style>
  <w:style w:type="character" w:customStyle="1" w:styleId="ListLabel9">
    <w:name w:val="ListLabel 9"/>
    <w:qFormat/>
    <w:rPr>
      <w:sz w:val="15"/>
      <w:szCs w:val="15"/>
    </w:rPr>
  </w:style>
  <w:style w:type="character" w:customStyle="1" w:styleId="ListLabel10">
    <w:name w:val="ListLabel 10"/>
    <w:qFormat/>
    <w:rPr>
      <w:sz w:val="15"/>
      <w:szCs w:val="15"/>
    </w:rPr>
  </w:style>
  <w:style w:type="character" w:customStyle="1" w:styleId="ListLabel11">
    <w:name w:val="ListLabel 11"/>
    <w:qFormat/>
    <w:rPr>
      <w:sz w:val="15"/>
      <w:szCs w:val="15"/>
    </w:rPr>
  </w:style>
  <w:style w:type="character" w:customStyle="1" w:styleId="ListLabel12">
    <w:name w:val="ListLabel 12"/>
    <w:qFormat/>
    <w:rPr>
      <w:sz w:val="15"/>
      <w:szCs w:val="15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6">
    <w:name w:val="ListLabel 26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7">
    <w:name w:val="ListLabel 27"/>
    <w:qFormat/>
    <w:rPr>
      <w:sz w:val="15"/>
      <w:szCs w:val="15"/>
    </w:rPr>
  </w:style>
  <w:style w:type="character" w:customStyle="1" w:styleId="ListLabel28">
    <w:name w:val="ListLabel 28"/>
    <w:qFormat/>
    <w:rPr>
      <w:sz w:val="15"/>
      <w:szCs w:val="15"/>
    </w:rPr>
  </w:style>
  <w:style w:type="character" w:customStyle="1" w:styleId="ListLabel29">
    <w:name w:val="ListLabel 29"/>
    <w:qFormat/>
    <w:rPr>
      <w:sz w:val="15"/>
      <w:szCs w:val="15"/>
    </w:rPr>
  </w:style>
  <w:style w:type="character" w:customStyle="1" w:styleId="ListLabel30">
    <w:name w:val="ListLabel 30"/>
    <w:qFormat/>
    <w:rPr>
      <w:sz w:val="15"/>
      <w:szCs w:val="15"/>
    </w:rPr>
  </w:style>
  <w:style w:type="character" w:customStyle="1" w:styleId="ListLabel31">
    <w:name w:val="ListLabel 31"/>
    <w:qFormat/>
    <w:rPr>
      <w:sz w:val="15"/>
      <w:szCs w:val="15"/>
    </w:rPr>
  </w:style>
  <w:style w:type="character" w:customStyle="1" w:styleId="ListLabel32">
    <w:name w:val="ListLabel 32"/>
    <w:qFormat/>
    <w:rPr>
      <w:sz w:val="15"/>
      <w:szCs w:val="15"/>
    </w:rPr>
  </w:style>
  <w:style w:type="character" w:customStyle="1" w:styleId="ListLabel33">
    <w:name w:val="ListLabel 33"/>
    <w:qFormat/>
    <w:rPr>
      <w:sz w:val="15"/>
      <w:szCs w:val="15"/>
    </w:rPr>
  </w:style>
  <w:style w:type="character" w:customStyle="1" w:styleId="ListLabel34">
    <w:name w:val="ListLabel 34"/>
    <w:qFormat/>
    <w:rPr>
      <w:rFonts w:eastAsia="SimSun" w:cs="Mangal"/>
      <w:sz w:val="24"/>
      <w:szCs w:val="24"/>
    </w:rPr>
  </w:style>
  <w:style w:type="character" w:customStyle="1" w:styleId="ListLabel35">
    <w:name w:val="ListLabel 35"/>
    <w:qFormat/>
    <w:rPr>
      <w:rFonts w:eastAsia="SimSun" w:cs="Mangal"/>
      <w:sz w:val="24"/>
      <w:szCs w:val="24"/>
    </w:rPr>
  </w:style>
  <w:style w:type="character" w:customStyle="1" w:styleId="ListLabel36">
    <w:name w:val="ListLabel 36"/>
    <w:qFormat/>
    <w:rPr>
      <w:sz w:val="15"/>
      <w:szCs w:val="15"/>
    </w:rPr>
  </w:style>
  <w:style w:type="character" w:customStyle="1" w:styleId="ListLabel37">
    <w:name w:val="ListLabel 37"/>
    <w:qFormat/>
    <w:rPr>
      <w:sz w:val="15"/>
      <w:szCs w:val="15"/>
    </w:rPr>
  </w:style>
  <w:style w:type="character" w:customStyle="1" w:styleId="ListLabel38">
    <w:name w:val="ListLabel 38"/>
    <w:qFormat/>
    <w:rPr>
      <w:sz w:val="15"/>
      <w:szCs w:val="15"/>
    </w:rPr>
  </w:style>
  <w:style w:type="character" w:customStyle="1" w:styleId="ListLabel39">
    <w:name w:val="ListLabel 39"/>
    <w:qFormat/>
    <w:rPr>
      <w:sz w:val="15"/>
      <w:szCs w:val="15"/>
    </w:rPr>
  </w:style>
  <w:style w:type="character" w:customStyle="1" w:styleId="ListLabel40">
    <w:name w:val="ListLabel 40"/>
    <w:qFormat/>
    <w:rPr>
      <w:sz w:val="15"/>
      <w:szCs w:val="15"/>
    </w:rPr>
  </w:style>
  <w:style w:type="character" w:customStyle="1" w:styleId="ListLabel41">
    <w:name w:val="ListLabel 41"/>
    <w:qFormat/>
    <w:rPr>
      <w:sz w:val="15"/>
      <w:szCs w:val="15"/>
    </w:rPr>
  </w:style>
  <w:style w:type="character" w:customStyle="1" w:styleId="ListLabel42">
    <w:name w:val="ListLabel 42"/>
    <w:qFormat/>
    <w:rPr>
      <w:sz w:val="15"/>
      <w:szCs w:val="15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ascii="Palatino Linotype" w:eastAsia="SimSun" w:hAnsi="Palatino Linotype" w:cs="Book Antiqua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84">
    <w:name w:val="ListLabel 84"/>
    <w:qFormat/>
    <w:rPr>
      <w:sz w:val="15"/>
      <w:szCs w:val="15"/>
    </w:rPr>
  </w:style>
  <w:style w:type="character" w:customStyle="1" w:styleId="ListLabel85">
    <w:name w:val="ListLabel 85"/>
    <w:qFormat/>
    <w:rPr>
      <w:sz w:val="15"/>
      <w:szCs w:val="15"/>
    </w:rPr>
  </w:style>
  <w:style w:type="character" w:customStyle="1" w:styleId="ListLabel86">
    <w:name w:val="ListLabel 86"/>
    <w:qFormat/>
    <w:rPr>
      <w:sz w:val="15"/>
      <w:szCs w:val="15"/>
    </w:rPr>
  </w:style>
  <w:style w:type="character" w:customStyle="1" w:styleId="ListLabel87">
    <w:name w:val="ListLabel 87"/>
    <w:qFormat/>
    <w:rPr>
      <w:sz w:val="15"/>
      <w:szCs w:val="15"/>
    </w:rPr>
  </w:style>
  <w:style w:type="character" w:customStyle="1" w:styleId="ListLabel88">
    <w:name w:val="ListLabel 88"/>
    <w:qFormat/>
    <w:rPr>
      <w:sz w:val="15"/>
      <w:szCs w:val="15"/>
    </w:rPr>
  </w:style>
  <w:style w:type="character" w:customStyle="1" w:styleId="ListLabel89">
    <w:name w:val="ListLabel 89"/>
    <w:qFormat/>
    <w:rPr>
      <w:sz w:val="15"/>
      <w:szCs w:val="15"/>
    </w:rPr>
  </w:style>
  <w:style w:type="character" w:customStyle="1" w:styleId="ListLabel90">
    <w:name w:val="ListLabel 90"/>
    <w:qFormat/>
    <w:rPr>
      <w:sz w:val="15"/>
      <w:szCs w:val="15"/>
    </w:rPr>
  </w:style>
  <w:style w:type="character" w:customStyle="1" w:styleId="ListLabel91">
    <w:name w:val="ListLabel 91"/>
    <w:qFormat/>
    <w:rPr>
      <w:sz w:val="15"/>
      <w:szCs w:val="15"/>
    </w:rPr>
  </w:style>
  <w:style w:type="character" w:customStyle="1" w:styleId="ListLabel92">
    <w:name w:val="ListLabel 92"/>
    <w:qFormat/>
    <w:rPr>
      <w:rFonts w:ascii="Palatino Linotype" w:hAnsi="Palatino Linotype"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Palatino Linotype" w:hAnsi="Palatino Linotype"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Palatino Linotype" w:hAnsi="Palatino Linotype"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Palatino Linotype" w:hAnsi="Palatino Linotype"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29">
    <w:name w:val="ListLabel 129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30">
    <w:name w:val="ListLabel 130"/>
    <w:qFormat/>
    <w:rPr>
      <w:sz w:val="15"/>
      <w:szCs w:val="15"/>
    </w:rPr>
  </w:style>
  <w:style w:type="character" w:customStyle="1" w:styleId="ListLabel131">
    <w:name w:val="ListLabel 131"/>
    <w:qFormat/>
    <w:rPr>
      <w:sz w:val="15"/>
      <w:szCs w:val="15"/>
    </w:rPr>
  </w:style>
  <w:style w:type="character" w:customStyle="1" w:styleId="ListLabel132">
    <w:name w:val="ListLabel 132"/>
    <w:qFormat/>
    <w:rPr>
      <w:sz w:val="15"/>
      <w:szCs w:val="15"/>
    </w:rPr>
  </w:style>
  <w:style w:type="character" w:customStyle="1" w:styleId="ListLabel133">
    <w:name w:val="ListLabel 133"/>
    <w:qFormat/>
    <w:rPr>
      <w:sz w:val="15"/>
      <w:szCs w:val="15"/>
    </w:rPr>
  </w:style>
  <w:style w:type="character" w:customStyle="1" w:styleId="ListLabel134">
    <w:name w:val="ListLabel 134"/>
    <w:qFormat/>
    <w:rPr>
      <w:sz w:val="15"/>
      <w:szCs w:val="15"/>
    </w:rPr>
  </w:style>
  <w:style w:type="character" w:customStyle="1" w:styleId="ListLabel135">
    <w:name w:val="ListLabel 135"/>
    <w:qFormat/>
    <w:rPr>
      <w:sz w:val="15"/>
      <w:szCs w:val="15"/>
    </w:rPr>
  </w:style>
  <w:style w:type="character" w:customStyle="1" w:styleId="ListLabel136">
    <w:name w:val="ListLabel 136"/>
    <w:qFormat/>
    <w:rPr>
      <w:sz w:val="15"/>
      <w:szCs w:val="15"/>
    </w:rPr>
  </w:style>
  <w:style w:type="character" w:customStyle="1" w:styleId="ListLabel137">
    <w:name w:val="ListLabel 137"/>
    <w:qFormat/>
    <w:rPr>
      <w:rFonts w:eastAsia="SimSun" w:cs="Mangal"/>
      <w:sz w:val="24"/>
      <w:szCs w:val="24"/>
    </w:rPr>
  </w:style>
  <w:style w:type="character" w:customStyle="1" w:styleId="ListLabel138">
    <w:name w:val="ListLabel 138"/>
    <w:qFormat/>
    <w:rPr>
      <w:rFonts w:eastAsia="SimSun" w:cs="Mangal"/>
      <w:sz w:val="24"/>
      <w:szCs w:val="24"/>
    </w:rPr>
  </w:style>
  <w:style w:type="character" w:customStyle="1" w:styleId="ListLabel139">
    <w:name w:val="ListLabel 139"/>
    <w:qFormat/>
    <w:rPr>
      <w:sz w:val="15"/>
      <w:szCs w:val="15"/>
    </w:rPr>
  </w:style>
  <w:style w:type="character" w:customStyle="1" w:styleId="ListLabel140">
    <w:name w:val="ListLabel 140"/>
    <w:qFormat/>
    <w:rPr>
      <w:sz w:val="15"/>
      <w:szCs w:val="15"/>
    </w:rPr>
  </w:style>
  <w:style w:type="character" w:customStyle="1" w:styleId="ListLabel141">
    <w:name w:val="ListLabel 141"/>
    <w:qFormat/>
    <w:rPr>
      <w:sz w:val="15"/>
      <w:szCs w:val="15"/>
    </w:rPr>
  </w:style>
  <w:style w:type="character" w:customStyle="1" w:styleId="ListLabel142">
    <w:name w:val="ListLabel 142"/>
    <w:qFormat/>
    <w:rPr>
      <w:sz w:val="15"/>
      <w:szCs w:val="15"/>
    </w:rPr>
  </w:style>
  <w:style w:type="character" w:customStyle="1" w:styleId="ListLabel143">
    <w:name w:val="ListLabel 143"/>
    <w:qFormat/>
    <w:rPr>
      <w:sz w:val="15"/>
      <w:szCs w:val="15"/>
    </w:rPr>
  </w:style>
  <w:style w:type="character" w:customStyle="1" w:styleId="ListLabel144">
    <w:name w:val="ListLabel 144"/>
    <w:qFormat/>
    <w:rPr>
      <w:sz w:val="15"/>
      <w:szCs w:val="15"/>
    </w:rPr>
  </w:style>
  <w:style w:type="character" w:customStyle="1" w:styleId="ListLabel145">
    <w:name w:val="ListLabel 145"/>
    <w:qFormat/>
    <w:rPr>
      <w:sz w:val="15"/>
      <w:szCs w:val="15"/>
    </w:rPr>
  </w:style>
  <w:style w:type="character" w:customStyle="1" w:styleId="ListLabel146">
    <w:name w:val="ListLabel 146"/>
    <w:qFormat/>
    <w:rPr>
      <w:rFonts w:ascii="Palatino Linotype" w:hAnsi="Palatino Linotype"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Palatino Linotype" w:hAnsi="Palatino Linotype"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ascii="Palatino Linotype" w:hAnsi="Palatino Linotype"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ascii="Palatino Linotype" w:hAnsi="Palatino Linotype"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ascii="Palatino Linotype" w:hAnsi="Palatino Linotype"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ascii="Palatino Linotype" w:hAnsi="Palatino Linotype"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ascii="Palatino Linotype" w:hAnsi="Palatino Linotype"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ascii="Palatino Linotype" w:hAnsi="Palatino Linotype"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ascii="Palatino Linotype" w:hAnsi="Palatino Linotype"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ascii="Palatino Linotype" w:hAnsi="Palatino Linotype"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1"/>
    <w:qFormat/>
    <w:rsid w:val="00266C71"/>
    <w:rPr>
      <w:rFonts w:ascii="Calibri" w:eastAsiaTheme="minorEastAsia" w:hAnsi="Calibri"/>
      <w:color w:val="00000A"/>
      <w:sz w:val="24"/>
    </w:rPr>
  </w:style>
  <w:style w:type="paragraph" w:customStyle="1" w:styleId="Standard">
    <w:name w:val="Standard"/>
    <w:qFormat/>
    <w:rsid w:val="00266C71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6C7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Standard"/>
    <w:qFormat/>
    <w:rsid w:val="00C43B66"/>
    <w:pPr>
      <w:suppressLineNumbers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2825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REKRUTACJI I ZATRUDNIANIA PRACOWNIKÓW BIURA</vt:lpstr>
    </vt:vector>
  </TitlesOfParts>
  <Company>Załącznik Nr 5 do Uchwały 3/XI/2016 Walnego Zebrania Członków Stowarzyszenia Lokalna Grupa Działania Szlak Tatarski z dnia 28 listopada 2016 r.</Company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REKRUTACJI I ZATRUDNIANIA PRACOWNIKÓW BIURA</dc:title>
  <dc:subject>STOWARZYSZENIA LOKALNA GRUPA DZIAŁANIA SZLAK TATARSKI</dc:subject>
  <dc:creator>user</dc:creator>
  <dc:description/>
  <cp:lastModifiedBy>lgd6</cp:lastModifiedBy>
  <cp:revision>13</cp:revision>
  <cp:lastPrinted>2018-01-23T08:36:00Z</cp:lastPrinted>
  <dcterms:created xsi:type="dcterms:W3CDTF">2016-11-30T09:08:00Z</dcterms:created>
  <dcterms:modified xsi:type="dcterms:W3CDTF">2018-01-30T11:48:00Z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Załącznik Nr 5 do Uchwały 3/XI/2016 Walnego Zebrania Członków Stowarzyszenia Lokalna Grupa Działania Szlak Tatarski z dnia 28 listopada 2016 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